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F4047" w14:textId="77777777" w:rsidR="007C3221" w:rsidRDefault="002A0F93">
      <w:pPr>
        <w:pStyle w:val="Normal1"/>
        <w:pBdr>
          <w:top w:val="nil"/>
          <w:left w:val="nil"/>
          <w:bottom w:val="nil"/>
          <w:right w:val="nil"/>
          <w:between w:val="nil"/>
        </w:pBdr>
        <w:ind w:left="1056" w:right="1355"/>
        <w:jc w:val="center"/>
        <w:rPr>
          <w:rFonts w:ascii="Calibri" w:eastAsia="Calibri" w:hAnsi="Calibri" w:cs="Calibri"/>
          <w:b/>
          <w:color w:val="000000"/>
          <w:sz w:val="24"/>
          <w:szCs w:val="24"/>
        </w:rPr>
      </w:pPr>
      <w:r>
        <w:rPr>
          <w:rFonts w:ascii="Calibri" w:eastAsia="Calibri" w:hAnsi="Calibri" w:cs="Calibri"/>
          <w:b/>
          <w:color w:val="000000"/>
          <w:sz w:val="24"/>
          <w:szCs w:val="24"/>
        </w:rPr>
        <w:t xml:space="preserve">FORMULAR AMENDAMENTE </w:t>
      </w:r>
    </w:p>
    <w:p w14:paraId="5A71AE45" w14:textId="77777777" w:rsidR="007C3221" w:rsidRDefault="007C3221">
      <w:pPr>
        <w:pStyle w:val="Normal1"/>
        <w:pBdr>
          <w:top w:val="nil"/>
          <w:left w:val="nil"/>
          <w:bottom w:val="nil"/>
          <w:right w:val="nil"/>
          <w:between w:val="nil"/>
        </w:pBdr>
        <w:ind w:left="1056" w:right="1355"/>
        <w:jc w:val="center"/>
        <w:rPr>
          <w:rFonts w:ascii="Calibri" w:eastAsia="Calibri" w:hAnsi="Calibri" w:cs="Calibri"/>
          <w:b/>
          <w:color w:val="000000"/>
          <w:sz w:val="24"/>
          <w:szCs w:val="24"/>
        </w:rPr>
      </w:pPr>
    </w:p>
    <w:p w14:paraId="56377C09" w14:textId="77777777" w:rsidR="007C3221" w:rsidRDefault="002A0F93">
      <w:pPr>
        <w:pStyle w:val="Normal1"/>
        <w:pBdr>
          <w:top w:val="nil"/>
          <w:left w:val="nil"/>
          <w:bottom w:val="nil"/>
          <w:right w:val="nil"/>
          <w:between w:val="nil"/>
        </w:pBdr>
        <w:spacing w:before="3"/>
        <w:ind w:left="1056" w:right="1355"/>
        <w:jc w:val="center"/>
        <w:rPr>
          <w:rFonts w:ascii="Calibri" w:eastAsia="Calibri" w:hAnsi="Calibri" w:cs="Calibri"/>
          <w:b/>
          <w:color w:val="000000"/>
          <w:sz w:val="24"/>
          <w:szCs w:val="24"/>
        </w:rPr>
      </w:pPr>
      <w:r>
        <w:rPr>
          <w:rFonts w:ascii="Calibri" w:eastAsia="Calibri" w:hAnsi="Calibri" w:cs="Calibri"/>
          <w:b/>
          <w:color w:val="000000"/>
          <w:sz w:val="24"/>
          <w:szCs w:val="24"/>
        </w:rPr>
        <w:t>Pentru modificare/completare</w:t>
      </w:r>
    </w:p>
    <w:p w14:paraId="299E3F7C" w14:textId="77777777" w:rsidR="007C3221" w:rsidRDefault="007C3221">
      <w:pPr>
        <w:pStyle w:val="Normal1"/>
        <w:pBdr>
          <w:top w:val="nil"/>
          <w:left w:val="nil"/>
          <w:bottom w:val="nil"/>
          <w:right w:val="nil"/>
          <w:between w:val="nil"/>
        </w:pBdr>
        <w:spacing w:before="3"/>
        <w:ind w:left="1056" w:right="1355"/>
        <w:jc w:val="center"/>
        <w:rPr>
          <w:rFonts w:ascii="Calibri" w:eastAsia="Calibri" w:hAnsi="Calibri" w:cs="Calibri"/>
          <w:b/>
          <w:color w:val="000000"/>
          <w:sz w:val="24"/>
          <w:szCs w:val="24"/>
        </w:rPr>
      </w:pPr>
    </w:p>
    <w:p w14:paraId="36F64633" w14:textId="77777777" w:rsidR="007C3221" w:rsidRDefault="002A0F93">
      <w:pPr>
        <w:pStyle w:val="Normal1"/>
        <w:jc w:val="center"/>
        <w:rPr>
          <w:b/>
          <w:sz w:val="28"/>
          <w:szCs w:val="28"/>
          <w:highlight w:val="white"/>
        </w:rPr>
      </w:pPr>
      <w:r>
        <w:rPr>
          <w:b/>
          <w:sz w:val="28"/>
          <w:szCs w:val="28"/>
          <w:highlight w:val="white"/>
        </w:rPr>
        <w:t xml:space="preserve">Lege privind exercitarea profesiei de psiholog, organizarea și funcționarea </w:t>
      </w:r>
    </w:p>
    <w:p w14:paraId="20EFD750" w14:textId="77777777" w:rsidR="007C3221" w:rsidRDefault="002A0F93">
      <w:pPr>
        <w:pStyle w:val="Normal1"/>
        <w:jc w:val="center"/>
        <w:rPr>
          <w:b/>
          <w:sz w:val="28"/>
          <w:szCs w:val="28"/>
        </w:rPr>
      </w:pPr>
      <w:r>
        <w:rPr>
          <w:b/>
          <w:sz w:val="28"/>
          <w:szCs w:val="28"/>
          <w:highlight w:val="white"/>
        </w:rPr>
        <w:t>Colegiului Psihologilor din România</w:t>
      </w:r>
    </w:p>
    <w:p w14:paraId="2C23E82A" w14:textId="77777777" w:rsidR="007C3221" w:rsidRDefault="007C3221">
      <w:pPr>
        <w:pStyle w:val="Normal1"/>
        <w:pBdr>
          <w:top w:val="nil"/>
          <w:left w:val="nil"/>
          <w:bottom w:val="nil"/>
          <w:right w:val="nil"/>
          <w:between w:val="nil"/>
        </w:pBdr>
        <w:spacing w:before="3"/>
        <w:ind w:left="1056" w:right="1355"/>
        <w:jc w:val="center"/>
        <w:rPr>
          <w:rFonts w:ascii="Calibri" w:eastAsia="Calibri" w:hAnsi="Calibri" w:cs="Calibri"/>
          <w:b/>
          <w:color w:val="000000"/>
          <w:sz w:val="24"/>
          <w:szCs w:val="24"/>
        </w:rPr>
      </w:pPr>
    </w:p>
    <w:p w14:paraId="788E4D66" w14:textId="77777777" w:rsidR="007C3221" w:rsidRDefault="007C3221">
      <w:pPr>
        <w:pStyle w:val="Normal1"/>
        <w:rPr>
          <w:rFonts w:ascii="Calibri" w:eastAsia="Calibri" w:hAnsi="Calibri" w:cs="Calibri"/>
          <w:b/>
          <w:sz w:val="24"/>
          <w:szCs w:val="24"/>
        </w:rPr>
      </w:pPr>
    </w:p>
    <w:p w14:paraId="063C4076" w14:textId="77777777" w:rsidR="007C3221" w:rsidRDefault="002A0F93">
      <w:pPr>
        <w:pStyle w:val="Normal1"/>
        <w:spacing w:line="360" w:lineRule="auto"/>
        <w:rPr>
          <w:sz w:val="24"/>
          <w:szCs w:val="24"/>
        </w:rPr>
      </w:pPr>
      <w:r>
        <w:rPr>
          <w:sz w:val="24"/>
          <w:szCs w:val="24"/>
        </w:rPr>
        <w:t>Nume și prenume: __Bold Dragos-Ionut_____________</w:t>
      </w:r>
    </w:p>
    <w:p w14:paraId="5081B2D4" w14:textId="77777777" w:rsidR="007C3221" w:rsidRDefault="002A0F93">
      <w:pPr>
        <w:pStyle w:val="Normal1"/>
        <w:spacing w:line="360" w:lineRule="auto"/>
        <w:rPr>
          <w:sz w:val="24"/>
          <w:szCs w:val="24"/>
        </w:rPr>
      </w:pPr>
      <w:r>
        <w:rPr>
          <w:sz w:val="24"/>
          <w:szCs w:val="24"/>
        </w:rPr>
        <w:t>Cod personal (cod RUP) : ___</w:t>
      </w:r>
      <w:r w:rsidR="005A5A95">
        <w:rPr>
          <w:sz w:val="24"/>
          <w:szCs w:val="24"/>
        </w:rPr>
        <w:t>01323____</w:t>
      </w:r>
    </w:p>
    <w:p w14:paraId="1AB63F31" w14:textId="77777777" w:rsidR="007C3221" w:rsidRDefault="002A0F93">
      <w:pPr>
        <w:pStyle w:val="Normal1"/>
        <w:spacing w:line="360" w:lineRule="auto"/>
        <w:rPr>
          <w:sz w:val="24"/>
          <w:szCs w:val="24"/>
        </w:rPr>
      </w:pPr>
      <w:r>
        <w:rPr>
          <w:sz w:val="24"/>
          <w:szCs w:val="24"/>
        </w:rPr>
        <w:t>Exercitarea profesiei de</w:t>
      </w:r>
      <w:r w:rsidR="005A5A95">
        <w:rPr>
          <w:sz w:val="24"/>
          <w:szCs w:val="24"/>
        </w:rPr>
        <w:t xml:space="preserve"> psiholog: a. Sector privat _X_</w:t>
      </w:r>
      <w:r>
        <w:rPr>
          <w:sz w:val="24"/>
          <w:szCs w:val="24"/>
        </w:rPr>
        <w:t>;  b. Sector public ___</w:t>
      </w:r>
    </w:p>
    <w:p w14:paraId="5CA2FBE9" w14:textId="77777777" w:rsidR="007C3221" w:rsidRDefault="002A0F93">
      <w:pPr>
        <w:pStyle w:val="Normal1"/>
        <w:spacing w:line="360" w:lineRule="auto"/>
        <w:rPr>
          <w:sz w:val="24"/>
          <w:szCs w:val="24"/>
        </w:rPr>
      </w:pPr>
      <w:r>
        <w:rPr>
          <w:sz w:val="24"/>
          <w:szCs w:val="24"/>
        </w:rPr>
        <w:t xml:space="preserve">Data:  </w:t>
      </w:r>
      <w:r w:rsidR="005A5A95">
        <w:rPr>
          <w:sz w:val="24"/>
          <w:szCs w:val="24"/>
        </w:rPr>
        <w:t>11/07/ 2024</w:t>
      </w:r>
    </w:p>
    <w:p w14:paraId="73A713ED" w14:textId="77777777" w:rsidR="007C3221" w:rsidRDefault="007C3221">
      <w:pPr>
        <w:pStyle w:val="Normal1"/>
        <w:spacing w:after="1"/>
        <w:rPr>
          <w:rFonts w:ascii="Calibri" w:eastAsia="Calibri" w:hAnsi="Calibri" w:cs="Calibri"/>
          <w:b/>
          <w:sz w:val="24"/>
          <w:szCs w:val="24"/>
        </w:rPr>
      </w:pPr>
    </w:p>
    <w:tbl>
      <w:tblPr>
        <w:tblStyle w:val="a"/>
        <w:tblW w:w="15525" w:type="dxa"/>
        <w:tblInd w:w="-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9"/>
        <w:gridCol w:w="6150"/>
        <w:gridCol w:w="5011"/>
        <w:gridCol w:w="3495"/>
      </w:tblGrid>
      <w:tr w:rsidR="007C3221" w14:paraId="6A8C61C0" w14:textId="77777777" w:rsidTr="004A48BB">
        <w:trPr>
          <w:cantSplit/>
          <w:trHeight w:val="481"/>
          <w:tblHeader/>
        </w:trPr>
        <w:tc>
          <w:tcPr>
            <w:tcW w:w="869" w:type="dxa"/>
            <w:vAlign w:val="center"/>
          </w:tcPr>
          <w:p w14:paraId="6BB455B8" w14:textId="77777777" w:rsidR="007C3221" w:rsidRDefault="002A0F93">
            <w:pPr>
              <w:pStyle w:val="Normal1"/>
              <w:pBdr>
                <w:top w:val="nil"/>
                <w:left w:val="nil"/>
                <w:bottom w:val="nil"/>
                <w:right w:val="nil"/>
                <w:between w:val="nil"/>
              </w:pBdr>
              <w:spacing w:line="242" w:lineRule="auto"/>
              <w:ind w:right="55"/>
              <w:jc w:val="center"/>
              <w:rPr>
                <w:rFonts w:ascii="Calibri" w:eastAsia="Calibri" w:hAnsi="Calibri" w:cs="Calibri"/>
                <w:b/>
                <w:color w:val="000000"/>
                <w:sz w:val="24"/>
                <w:szCs w:val="24"/>
              </w:rPr>
            </w:pPr>
            <w:r>
              <w:rPr>
                <w:rFonts w:ascii="Calibri" w:eastAsia="Calibri" w:hAnsi="Calibri" w:cs="Calibri"/>
                <w:b/>
                <w:color w:val="000000"/>
                <w:sz w:val="24"/>
                <w:szCs w:val="24"/>
              </w:rPr>
              <w:t>Nr.  crt.</w:t>
            </w:r>
          </w:p>
        </w:tc>
        <w:tc>
          <w:tcPr>
            <w:tcW w:w="6150" w:type="dxa"/>
            <w:vAlign w:val="center"/>
          </w:tcPr>
          <w:p w14:paraId="00495FF8" w14:textId="77777777" w:rsidR="007C3221" w:rsidRDefault="002A0F93">
            <w:pPr>
              <w:pStyle w:val="Normal1"/>
              <w:pBdr>
                <w:top w:val="nil"/>
                <w:left w:val="nil"/>
                <w:bottom w:val="nil"/>
                <w:right w:val="nil"/>
                <w:between w:val="nil"/>
              </w:pBdr>
              <w:spacing w:line="273" w:lineRule="auto"/>
              <w:jc w:val="center"/>
              <w:rPr>
                <w:rFonts w:ascii="Calibri" w:eastAsia="Calibri" w:hAnsi="Calibri" w:cs="Calibri"/>
                <w:b/>
                <w:color w:val="000000"/>
                <w:sz w:val="24"/>
                <w:szCs w:val="24"/>
              </w:rPr>
            </w:pPr>
            <w:r>
              <w:rPr>
                <w:rFonts w:ascii="Calibri" w:eastAsia="Calibri" w:hAnsi="Calibri" w:cs="Calibri"/>
                <w:b/>
                <w:color w:val="000000"/>
                <w:sz w:val="24"/>
                <w:szCs w:val="24"/>
              </w:rPr>
              <w:t>Text actual</w:t>
            </w:r>
          </w:p>
        </w:tc>
        <w:tc>
          <w:tcPr>
            <w:tcW w:w="5011" w:type="dxa"/>
            <w:vAlign w:val="center"/>
          </w:tcPr>
          <w:p w14:paraId="19F364C5" w14:textId="77777777" w:rsidR="007C3221" w:rsidRDefault="002A0F93">
            <w:pPr>
              <w:pStyle w:val="Normal1"/>
              <w:pBdr>
                <w:top w:val="nil"/>
                <w:left w:val="nil"/>
                <w:bottom w:val="nil"/>
                <w:right w:val="nil"/>
                <w:between w:val="nil"/>
              </w:pBdr>
              <w:spacing w:line="242" w:lineRule="auto"/>
              <w:ind w:left="7" w:right="92" w:hanging="7"/>
              <w:jc w:val="center"/>
              <w:rPr>
                <w:rFonts w:ascii="Calibri" w:eastAsia="Calibri" w:hAnsi="Calibri" w:cs="Calibri"/>
                <w:b/>
                <w:color w:val="000000"/>
                <w:sz w:val="24"/>
                <w:szCs w:val="24"/>
              </w:rPr>
            </w:pPr>
            <w:r>
              <w:rPr>
                <w:rFonts w:ascii="Calibri" w:eastAsia="Calibri" w:hAnsi="Calibri" w:cs="Calibri"/>
                <w:b/>
                <w:color w:val="000000"/>
                <w:sz w:val="24"/>
                <w:szCs w:val="24"/>
              </w:rPr>
              <w:t>Amendamente       propuse</w:t>
            </w:r>
          </w:p>
        </w:tc>
        <w:tc>
          <w:tcPr>
            <w:tcW w:w="3495" w:type="dxa"/>
            <w:vAlign w:val="center"/>
          </w:tcPr>
          <w:p w14:paraId="296D8B79" w14:textId="77777777" w:rsidR="007C3221" w:rsidRDefault="002A0F93">
            <w:pPr>
              <w:pStyle w:val="Normal1"/>
              <w:pBdr>
                <w:top w:val="nil"/>
                <w:left w:val="nil"/>
                <w:bottom w:val="nil"/>
                <w:right w:val="nil"/>
                <w:between w:val="nil"/>
              </w:pBdr>
              <w:spacing w:line="273" w:lineRule="auto"/>
              <w:jc w:val="center"/>
              <w:rPr>
                <w:rFonts w:ascii="Calibri" w:eastAsia="Calibri" w:hAnsi="Calibri" w:cs="Calibri"/>
                <w:b/>
                <w:color w:val="000000"/>
                <w:sz w:val="24"/>
                <w:szCs w:val="24"/>
              </w:rPr>
            </w:pPr>
            <w:r>
              <w:rPr>
                <w:rFonts w:ascii="Calibri" w:eastAsia="Calibri" w:hAnsi="Calibri" w:cs="Calibri"/>
                <w:b/>
                <w:color w:val="000000"/>
                <w:sz w:val="24"/>
                <w:szCs w:val="24"/>
              </w:rPr>
              <w:t>Argumente</w:t>
            </w:r>
          </w:p>
        </w:tc>
      </w:tr>
      <w:tr w:rsidR="007C3221" w14:paraId="1E92D0CB" w14:textId="77777777" w:rsidTr="004A48BB">
        <w:trPr>
          <w:cantSplit/>
          <w:trHeight w:val="90"/>
          <w:tblHeader/>
        </w:trPr>
        <w:tc>
          <w:tcPr>
            <w:tcW w:w="869" w:type="dxa"/>
            <w:vAlign w:val="center"/>
          </w:tcPr>
          <w:p w14:paraId="268EE907" w14:textId="77777777" w:rsidR="007C3221" w:rsidRDefault="007C3221">
            <w:pPr>
              <w:pStyle w:val="Normal1"/>
              <w:pBdr>
                <w:top w:val="nil"/>
                <w:left w:val="nil"/>
                <w:bottom w:val="nil"/>
                <w:right w:val="nil"/>
                <w:between w:val="nil"/>
              </w:pBdr>
              <w:spacing w:line="273" w:lineRule="auto"/>
              <w:jc w:val="center"/>
              <w:rPr>
                <w:rFonts w:ascii="Calibri" w:eastAsia="Calibri" w:hAnsi="Calibri" w:cs="Calibri"/>
                <w:b/>
                <w:color w:val="000000"/>
                <w:sz w:val="24"/>
                <w:szCs w:val="24"/>
              </w:rPr>
            </w:pPr>
          </w:p>
        </w:tc>
        <w:tc>
          <w:tcPr>
            <w:tcW w:w="6150" w:type="dxa"/>
            <w:vAlign w:val="center"/>
          </w:tcPr>
          <w:p w14:paraId="538E890F" w14:textId="77777777" w:rsidR="007C3221" w:rsidRDefault="002A0F93">
            <w:pPr>
              <w:pStyle w:val="Normal1"/>
              <w:jc w:val="center"/>
              <w:rPr>
                <w:rFonts w:ascii="Calibri" w:eastAsia="Calibri" w:hAnsi="Calibri" w:cs="Calibri"/>
                <w:b/>
                <w:color w:val="1F497D"/>
                <w:sz w:val="24"/>
                <w:szCs w:val="24"/>
              </w:rPr>
            </w:pPr>
            <w:r>
              <w:rPr>
                <w:rFonts w:ascii="Calibri" w:eastAsia="Calibri" w:hAnsi="Calibri" w:cs="Calibri"/>
                <w:b/>
                <w:color w:val="1F497D"/>
                <w:sz w:val="24"/>
                <w:szCs w:val="24"/>
              </w:rPr>
              <w:t xml:space="preserve">IDENTIFICAȚI </w:t>
            </w:r>
            <w:r>
              <w:rPr>
                <w:rFonts w:ascii="Calibri" w:eastAsia="Calibri" w:hAnsi="Calibri" w:cs="Calibri"/>
                <w:color w:val="1F497D"/>
                <w:sz w:val="24"/>
                <w:szCs w:val="24"/>
              </w:rPr>
              <w:t>(după caz):</w:t>
            </w:r>
          </w:p>
          <w:p w14:paraId="1E2CE449" w14:textId="77777777" w:rsidR="007C3221" w:rsidRDefault="002A0F93">
            <w:pPr>
              <w:pStyle w:val="Normal1"/>
              <w:jc w:val="center"/>
              <w:rPr>
                <w:rFonts w:ascii="Calibri" w:eastAsia="Calibri" w:hAnsi="Calibri" w:cs="Calibri"/>
                <w:b/>
                <w:color w:val="1F497D"/>
                <w:sz w:val="24"/>
                <w:szCs w:val="24"/>
              </w:rPr>
            </w:pPr>
            <w:r>
              <w:rPr>
                <w:rFonts w:ascii="Calibri" w:eastAsia="Calibri" w:hAnsi="Calibri" w:cs="Calibri"/>
                <w:b/>
                <w:color w:val="1F497D"/>
                <w:sz w:val="24"/>
                <w:szCs w:val="24"/>
              </w:rPr>
              <w:t>- Textul propus pentru modificare/înlocuire</w:t>
            </w:r>
          </w:p>
          <w:p w14:paraId="3B3E8436" w14:textId="77777777" w:rsidR="007C3221" w:rsidRDefault="002A0F93">
            <w:pPr>
              <w:pStyle w:val="Normal1"/>
              <w:jc w:val="center"/>
              <w:rPr>
                <w:rFonts w:ascii="Calibri" w:eastAsia="Calibri" w:hAnsi="Calibri" w:cs="Calibri"/>
                <w:b/>
                <w:color w:val="1F497D"/>
                <w:sz w:val="24"/>
                <w:szCs w:val="24"/>
              </w:rPr>
            </w:pPr>
            <w:r>
              <w:rPr>
                <w:rFonts w:ascii="Calibri" w:eastAsia="Calibri" w:hAnsi="Calibri" w:cs="Calibri"/>
                <w:b/>
                <w:color w:val="1F497D"/>
                <w:sz w:val="24"/>
                <w:szCs w:val="24"/>
              </w:rPr>
              <w:t>- Textul propus pentru eliminare</w:t>
            </w:r>
          </w:p>
          <w:p w14:paraId="6862CE3A" w14:textId="77777777" w:rsidR="007C3221" w:rsidRDefault="002A0F93">
            <w:pPr>
              <w:pStyle w:val="Normal1"/>
              <w:jc w:val="center"/>
              <w:rPr>
                <w:rFonts w:ascii="Calibri" w:eastAsia="Calibri" w:hAnsi="Calibri" w:cs="Calibri"/>
                <w:b/>
                <w:color w:val="1F497D"/>
                <w:sz w:val="24"/>
                <w:szCs w:val="24"/>
              </w:rPr>
            </w:pPr>
            <w:r>
              <w:rPr>
                <w:rFonts w:ascii="Calibri" w:eastAsia="Calibri" w:hAnsi="Calibri" w:cs="Calibri"/>
                <w:b/>
                <w:color w:val="1F497D"/>
                <w:sz w:val="24"/>
                <w:szCs w:val="24"/>
              </w:rPr>
              <w:t>- Locul în care propuneți completarea textului</w:t>
            </w:r>
          </w:p>
        </w:tc>
        <w:tc>
          <w:tcPr>
            <w:tcW w:w="5011" w:type="dxa"/>
            <w:vAlign w:val="center"/>
          </w:tcPr>
          <w:p w14:paraId="318E7345" w14:textId="77777777" w:rsidR="007C3221" w:rsidRDefault="002A0F93">
            <w:pPr>
              <w:pStyle w:val="Normal1"/>
              <w:jc w:val="center"/>
              <w:rPr>
                <w:rFonts w:ascii="Calibri" w:eastAsia="Calibri" w:hAnsi="Calibri" w:cs="Calibri"/>
                <w:b/>
                <w:color w:val="1F497D"/>
                <w:sz w:val="24"/>
                <w:szCs w:val="24"/>
              </w:rPr>
            </w:pPr>
            <w:r>
              <w:rPr>
                <w:rFonts w:ascii="Calibri" w:eastAsia="Calibri" w:hAnsi="Calibri" w:cs="Calibri"/>
                <w:b/>
                <w:color w:val="1F497D"/>
                <w:sz w:val="24"/>
                <w:szCs w:val="24"/>
              </w:rPr>
              <w:t xml:space="preserve">PROPUNERE </w:t>
            </w:r>
            <w:r>
              <w:rPr>
                <w:rFonts w:ascii="Calibri" w:eastAsia="Calibri" w:hAnsi="Calibri" w:cs="Calibri"/>
                <w:color w:val="1F497D"/>
                <w:sz w:val="24"/>
                <w:szCs w:val="24"/>
              </w:rPr>
              <w:t>(după caz):</w:t>
            </w:r>
          </w:p>
          <w:p w14:paraId="40E8DCA2" w14:textId="77777777" w:rsidR="007C3221" w:rsidRDefault="002A0F93">
            <w:pPr>
              <w:pStyle w:val="Normal1"/>
              <w:jc w:val="center"/>
              <w:rPr>
                <w:rFonts w:ascii="Calibri" w:eastAsia="Calibri" w:hAnsi="Calibri" w:cs="Calibri"/>
                <w:b/>
                <w:color w:val="1F497D"/>
                <w:sz w:val="24"/>
                <w:szCs w:val="24"/>
              </w:rPr>
            </w:pPr>
            <w:r>
              <w:rPr>
                <w:rFonts w:ascii="Calibri" w:eastAsia="Calibri" w:hAnsi="Calibri" w:cs="Calibri"/>
                <w:b/>
                <w:color w:val="1F497D"/>
                <w:sz w:val="24"/>
                <w:szCs w:val="24"/>
              </w:rPr>
              <w:t>- Modificare/înlocuire text</w:t>
            </w:r>
          </w:p>
          <w:p w14:paraId="40650007" w14:textId="77777777" w:rsidR="007C3221" w:rsidRDefault="002A0F93">
            <w:pPr>
              <w:pStyle w:val="Normal1"/>
              <w:jc w:val="center"/>
              <w:rPr>
                <w:rFonts w:ascii="Calibri" w:eastAsia="Calibri" w:hAnsi="Calibri" w:cs="Calibri"/>
                <w:b/>
                <w:color w:val="1F497D"/>
                <w:sz w:val="24"/>
                <w:szCs w:val="24"/>
              </w:rPr>
            </w:pPr>
            <w:r>
              <w:rPr>
                <w:rFonts w:ascii="Calibri" w:eastAsia="Calibri" w:hAnsi="Calibri" w:cs="Calibri"/>
                <w:b/>
                <w:color w:val="1F497D"/>
                <w:sz w:val="24"/>
                <w:szCs w:val="24"/>
              </w:rPr>
              <w:t>- Eliminare text</w:t>
            </w:r>
          </w:p>
          <w:p w14:paraId="7DBEE9D3" w14:textId="77777777" w:rsidR="007C3221" w:rsidRDefault="002A0F93">
            <w:pPr>
              <w:pStyle w:val="Normal1"/>
              <w:jc w:val="center"/>
              <w:rPr>
                <w:rFonts w:ascii="Calibri" w:eastAsia="Calibri" w:hAnsi="Calibri" w:cs="Calibri"/>
                <w:b/>
                <w:color w:val="1F497D"/>
                <w:sz w:val="24"/>
                <w:szCs w:val="24"/>
              </w:rPr>
            </w:pPr>
            <w:r>
              <w:rPr>
                <w:rFonts w:ascii="Calibri" w:eastAsia="Calibri" w:hAnsi="Calibri" w:cs="Calibri"/>
                <w:b/>
                <w:color w:val="1F497D"/>
                <w:sz w:val="24"/>
                <w:szCs w:val="24"/>
              </w:rPr>
              <w:t>- Completare text</w:t>
            </w:r>
          </w:p>
        </w:tc>
        <w:tc>
          <w:tcPr>
            <w:tcW w:w="3495" w:type="dxa"/>
            <w:vAlign w:val="center"/>
          </w:tcPr>
          <w:p w14:paraId="201D4954" w14:textId="77777777" w:rsidR="007C3221" w:rsidRDefault="002A0F93">
            <w:pPr>
              <w:pStyle w:val="Normal1"/>
              <w:jc w:val="center"/>
              <w:rPr>
                <w:rFonts w:ascii="Calibri" w:eastAsia="Calibri" w:hAnsi="Calibri" w:cs="Calibri"/>
                <w:b/>
                <w:color w:val="1F497D"/>
                <w:sz w:val="24"/>
                <w:szCs w:val="24"/>
              </w:rPr>
            </w:pPr>
            <w:r>
              <w:rPr>
                <w:rFonts w:ascii="Calibri" w:eastAsia="Calibri" w:hAnsi="Calibri" w:cs="Calibri"/>
                <w:b/>
                <w:color w:val="1F497D"/>
                <w:sz w:val="24"/>
                <w:szCs w:val="24"/>
              </w:rPr>
              <w:t>ARGUMENTAREA propunerii</w:t>
            </w:r>
          </w:p>
        </w:tc>
      </w:tr>
      <w:tr w:rsidR="007C3221" w14:paraId="753D1010" w14:textId="77777777" w:rsidTr="004A48BB">
        <w:trPr>
          <w:cantSplit/>
          <w:trHeight w:val="90"/>
          <w:tblHeader/>
        </w:trPr>
        <w:tc>
          <w:tcPr>
            <w:tcW w:w="869" w:type="dxa"/>
            <w:vAlign w:val="center"/>
          </w:tcPr>
          <w:p w14:paraId="0160B4D8" w14:textId="77777777" w:rsidR="007C3221" w:rsidRDefault="007C3221" w:rsidP="004A48BB">
            <w:pPr>
              <w:pStyle w:val="Normal1"/>
              <w:pBdr>
                <w:top w:val="nil"/>
                <w:left w:val="nil"/>
                <w:bottom w:val="nil"/>
                <w:right w:val="nil"/>
                <w:between w:val="nil"/>
              </w:pBdr>
              <w:spacing w:line="273" w:lineRule="auto"/>
              <w:ind w:left="425"/>
              <w:rPr>
                <w:b/>
                <w:color w:val="000000"/>
                <w:sz w:val="24"/>
                <w:szCs w:val="24"/>
              </w:rPr>
            </w:pPr>
          </w:p>
        </w:tc>
        <w:tc>
          <w:tcPr>
            <w:tcW w:w="6150" w:type="dxa"/>
            <w:vAlign w:val="center"/>
          </w:tcPr>
          <w:p w14:paraId="760685AD" w14:textId="77777777" w:rsidR="007C3221" w:rsidRPr="004A48BB" w:rsidRDefault="007C3221" w:rsidP="004A48BB">
            <w:pPr>
              <w:pStyle w:val="Normal1"/>
              <w:jc w:val="center"/>
              <w:rPr>
                <w:b/>
              </w:rPr>
            </w:pPr>
          </w:p>
        </w:tc>
        <w:tc>
          <w:tcPr>
            <w:tcW w:w="5011" w:type="dxa"/>
            <w:vAlign w:val="center"/>
          </w:tcPr>
          <w:p w14:paraId="73433B6D" w14:textId="77777777" w:rsidR="007C3221" w:rsidRDefault="007C3221">
            <w:pPr>
              <w:pStyle w:val="Normal1"/>
              <w:pBdr>
                <w:top w:val="nil"/>
                <w:left w:val="nil"/>
                <w:bottom w:val="nil"/>
                <w:right w:val="nil"/>
                <w:between w:val="nil"/>
              </w:pBdr>
              <w:jc w:val="both"/>
              <w:rPr>
                <w:color w:val="000000"/>
                <w:sz w:val="24"/>
                <w:szCs w:val="24"/>
              </w:rPr>
            </w:pPr>
          </w:p>
        </w:tc>
        <w:tc>
          <w:tcPr>
            <w:tcW w:w="3495" w:type="dxa"/>
            <w:vAlign w:val="center"/>
          </w:tcPr>
          <w:p w14:paraId="754BBA75" w14:textId="77777777" w:rsidR="007C3221" w:rsidRDefault="007C3221">
            <w:pPr>
              <w:pStyle w:val="Normal1"/>
              <w:pBdr>
                <w:top w:val="nil"/>
                <w:left w:val="nil"/>
                <w:bottom w:val="nil"/>
                <w:right w:val="nil"/>
                <w:between w:val="nil"/>
              </w:pBdr>
              <w:jc w:val="both"/>
              <w:rPr>
                <w:color w:val="000000"/>
                <w:sz w:val="24"/>
                <w:szCs w:val="24"/>
              </w:rPr>
            </w:pPr>
          </w:p>
        </w:tc>
      </w:tr>
      <w:tr w:rsidR="007C3221" w14:paraId="4FE20377" w14:textId="77777777" w:rsidTr="004A48BB">
        <w:trPr>
          <w:cantSplit/>
          <w:trHeight w:val="2318"/>
          <w:tblHeader/>
        </w:trPr>
        <w:tc>
          <w:tcPr>
            <w:tcW w:w="869" w:type="dxa"/>
            <w:vAlign w:val="center"/>
          </w:tcPr>
          <w:p w14:paraId="429E35DD" w14:textId="0FADFE8D" w:rsidR="007C3221" w:rsidRDefault="007C3221" w:rsidP="004A48BB">
            <w:pPr>
              <w:pStyle w:val="Normal1"/>
              <w:pBdr>
                <w:top w:val="nil"/>
                <w:left w:val="nil"/>
                <w:bottom w:val="nil"/>
                <w:right w:val="nil"/>
                <w:between w:val="nil"/>
              </w:pBdr>
              <w:spacing w:line="273" w:lineRule="auto"/>
              <w:ind w:left="425"/>
              <w:rPr>
                <w:b/>
                <w:color w:val="000000"/>
                <w:sz w:val="24"/>
                <w:szCs w:val="24"/>
              </w:rPr>
            </w:pPr>
          </w:p>
        </w:tc>
        <w:tc>
          <w:tcPr>
            <w:tcW w:w="6150" w:type="dxa"/>
          </w:tcPr>
          <w:p w14:paraId="4A854975" w14:textId="43BEE436" w:rsidR="004A48BB" w:rsidRDefault="004A48BB" w:rsidP="004A48BB">
            <w:pPr>
              <w:pStyle w:val="Normal1"/>
              <w:jc w:val="both"/>
              <w:rPr>
                <w:b/>
              </w:rPr>
            </w:pPr>
            <w:r>
              <w:rPr>
                <w:b/>
              </w:rPr>
              <w:t>Art. 14</w:t>
            </w:r>
            <w:r w:rsidR="003720AD">
              <w:rPr>
                <w:b/>
              </w:rPr>
              <w:t>8</w:t>
            </w:r>
            <w:r>
              <w:rPr>
                <w:b/>
              </w:rPr>
              <w:t>.</w:t>
            </w:r>
          </w:p>
          <w:p w14:paraId="765FF61A" w14:textId="77777777" w:rsidR="004A48BB" w:rsidRDefault="004A48BB" w:rsidP="004A48BB">
            <w:pPr>
              <w:pStyle w:val="Normal1"/>
              <w:jc w:val="both"/>
            </w:pPr>
          </w:p>
          <w:p w14:paraId="5A71332A" w14:textId="77777777" w:rsidR="007C3221" w:rsidRDefault="004A48BB" w:rsidP="004A48BB">
            <w:pPr>
              <w:pStyle w:val="Normal1"/>
              <w:widowControl/>
              <w:numPr>
                <w:ilvl w:val="0"/>
                <w:numId w:val="13"/>
              </w:numPr>
            </w:pPr>
            <w:r>
              <w:rPr>
                <w:b/>
              </w:rPr>
              <w:t>(2)</w:t>
            </w:r>
            <w:r>
              <w:t xml:space="preserve"> Condițiile și procedura pentru obținerea gradelor profesionale prevăzute de prezenta lege de către deținătorii atestatelor de liberă practică pentru treapta de practicant, regim de exercitare autonom eliberate anterior intrării în vigoare a prezentei legi se vor stabili de către Consiliul Național al Colegiului Psihologilor din România.</w:t>
            </w:r>
          </w:p>
        </w:tc>
        <w:tc>
          <w:tcPr>
            <w:tcW w:w="5011" w:type="dxa"/>
          </w:tcPr>
          <w:p w14:paraId="43C4A581" w14:textId="46A9C2B7" w:rsidR="004A48BB" w:rsidRDefault="004A48BB" w:rsidP="004A48BB">
            <w:pPr>
              <w:pStyle w:val="Normal1"/>
              <w:pBdr>
                <w:top w:val="nil"/>
                <w:left w:val="nil"/>
                <w:bottom w:val="nil"/>
                <w:right w:val="nil"/>
                <w:between w:val="nil"/>
              </w:pBdr>
              <w:tabs>
                <w:tab w:val="left" w:pos="584"/>
              </w:tabs>
              <w:spacing w:before="230"/>
              <w:ind w:right="92"/>
              <w:jc w:val="both"/>
              <w:rPr>
                <w:color w:val="000000"/>
                <w:sz w:val="24"/>
                <w:szCs w:val="24"/>
              </w:rPr>
            </w:pPr>
            <w:r>
              <w:rPr>
                <w:color w:val="000000"/>
                <w:sz w:val="24"/>
                <w:szCs w:val="24"/>
              </w:rPr>
              <w:t>Art. 14</w:t>
            </w:r>
            <w:r w:rsidR="003720AD">
              <w:rPr>
                <w:color w:val="000000"/>
                <w:sz w:val="24"/>
                <w:szCs w:val="24"/>
              </w:rPr>
              <w:t>8</w:t>
            </w:r>
            <w:r>
              <w:rPr>
                <w:color w:val="000000"/>
                <w:sz w:val="24"/>
                <w:szCs w:val="24"/>
              </w:rPr>
              <w:t>.</w:t>
            </w:r>
          </w:p>
          <w:p w14:paraId="6A0E1822" w14:textId="77777777" w:rsidR="007C3221" w:rsidRDefault="004A48BB" w:rsidP="004A48BB">
            <w:pPr>
              <w:pStyle w:val="Normal1"/>
              <w:pBdr>
                <w:top w:val="nil"/>
                <w:left w:val="nil"/>
                <w:bottom w:val="nil"/>
                <w:right w:val="nil"/>
                <w:between w:val="nil"/>
              </w:pBdr>
              <w:tabs>
                <w:tab w:val="left" w:pos="584"/>
              </w:tabs>
              <w:spacing w:before="230"/>
              <w:ind w:right="91"/>
              <w:rPr>
                <w:color w:val="000000"/>
                <w:sz w:val="24"/>
                <w:szCs w:val="24"/>
              </w:rPr>
            </w:pPr>
            <w:r>
              <w:rPr>
                <w:color w:val="000000"/>
                <w:sz w:val="24"/>
                <w:szCs w:val="24"/>
              </w:rPr>
              <w:t>(2)</w:t>
            </w:r>
            <w:r>
              <w:t xml:space="preserve"> Deținătorilor atestatelor de liberă practică pentru treapta de practicant, regim de exercitare autonom eliberate anterior intrării în vigoare a prezentei legi li se poate echivala regimul de exercitare autonom cu gradul profesional specialist, conform Art. 29 in urma întocmirii unui dosar care să ateste întrunirea condițiilor prevăzute în Art. 15, alin. (1).</w:t>
            </w:r>
          </w:p>
        </w:tc>
        <w:tc>
          <w:tcPr>
            <w:tcW w:w="3495" w:type="dxa"/>
          </w:tcPr>
          <w:p w14:paraId="39C0BB20" w14:textId="77777777" w:rsidR="004A48BB" w:rsidRDefault="005A5A95" w:rsidP="004A48BB">
            <w:pPr>
              <w:pStyle w:val="Normal1"/>
              <w:pBdr>
                <w:top w:val="nil"/>
                <w:left w:val="nil"/>
                <w:bottom w:val="nil"/>
                <w:right w:val="nil"/>
                <w:between w:val="nil"/>
              </w:pBdr>
              <w:spacing w:line="242" w:lineRule="auto"/>
              <w:ind w:left="112" w:right="75"/>
              <w:jc w:val="both"/>
            </w:pPr>
            <w:r>
              <w:t xml:space="preserve"> </w:t>
            </w:r>
            <w:r w:rsidR="004A48BB">
              <w:t>Argument 1-</w:t>
            </w:r>
          </w:p>
          <w:p w14:paraId="31D78E3F" w14:textId="77777777" w:rsidR="004A48BB" w:rsidRDefault="004A48BB" w:rsidP="004A48BB">
            <w:pPr>
              <w:pStyle w:val="Normal1"/>
              <w:pBdr>
                <w:top w:val="nil"/>
                <w:left w:val="nil"/>
                <w:bottom w:val="nil"/>
                <w:right w:val="nil"/>
                <w:between w:val="nil"/>
              </w:pBdr>
              <w:spacing w:line="242" w:lineRule="auto"/>
              <w:ind w:left="112" w:right="75"/>
              <w:jc w:val="both"/>
            </w:pPr>
            <w:r>
              <w:t>Psihologii și deținătorii de competențe generale care, la data intrării în vigoare a prezentei legi, dețin treapta de practicant autonom obținută în temeiul Legii nr. 213/2004 care au exercitat profesi</w:t>
            </w:r>
            <w:r w:rsidR="00D848AE">
              <w:t xml:space="preserve">a de psiholog sau </w:t>
            </w:r>
            <w:r>
              <w:t xml:space="preserve"> competența generală în regim autonom anterior intrării în vigoare a prezentei legi și-au câștigat dreptul la autonomia profesională în urma unei examinări legale, conform Legii nr. 213/2004 aflate în vigoare </w:t>
            </w:r>
            <w:r w:rsidR="005A5A95">
              <w:t>la mo</w:t>
            </w:r>
            <w:r>
              <w:t>mentul respectiv, iar acest drept nu poate fi pierdut decât dacă intră sub incidența Art. 17 alin. (1) sau ale Art. 18 alin. (1).</w:t>
            </w:r>
          </w:p>
          <w:p w14:paraId="3578D5A3" w14:textId="77777777" w:rsidR="004A48BB" w:rsidRDefault="004A48BB" w:rsidP="004A48BB">
            <w:pPr>
              <w:pStyle w:val="Normal1"/>
              <w:pBdr>
                <w:top w:val="nil"/>
                <w:left w:val="nil"/>
                <w:bottom w:val="nil"/>
                <w:right w:val="nil"/>
                <w:between w:val="nil"/>
              </w:pBdr>
              <w:spacing w:line="242" w:lineRule="auto"/>
              <w:ind w:left="112" w:right="75"/>
              <w:jc w:val="both"/>
            </w:pPr>
            <w:r>
              <w:t xml:space="preserve">Argument 2- </w:t>
            </w:r>
          </w:p>
          <w:p w14:paraId="77A8A461" w14:textId="77777777" w:rsidR="004A48BB" w:rsidRPr="005A48EC" w:rsidRDefault="004A48BB" w:rsidP="004A48BB">
            <w:pPr>
              <w:pStyle w:val="Normal1"/>
              <w:pBdr>
                <w:top w:val="nil"/>
                <w:left w:val="nil"/>
                <w:bottom w:val="nil"/>
                <w:right w:val="nil"/>
                <w:between w:val="nil"/>
              </w:pBdr>
              <w:jc w:val="both"/>
            </w:pPr>
            <w:r>
              <w:t xml:space="preserve">Condițiile prevăzute pentru trecerea de la treapta stagiar la treapta specialist, prevăzute în </w:t>
            </w:r>
            <w:r>
              <w:rPr>
                <w:b/>
                <w:color w:val="000000"/>
              </w:rPr>
              <w:t>Art. 31. Litera a-c,</w:t>
            </w:r>
            <w:r>
              <w:rPr>
                <w:color w:val="000000"/>
              </w:rPr>
              <w:t xml:space="preserve"> sunt întrunite de către psihologul practicant autotom prin condățiile echivalente îndeplinite conform le</w:t>
            </w:r>
            <w:r w:rsidR="00D848AE">
              <w:rPr>
                <w:color w:val="000000"/>
              </w:rPr>
              <w:t xml:space="preserve">gislației în vigoare (Legea </w:t>
            </w:r>
            <w:r>
              <w:rPr>
                <w:color w:val="000000"/>
              </w:rPr>
              <w:t>213</w:t>
            </w:r>
            <w:r w:rsidR="00D848AE">
              <w:rPr>
                <w:color w:val="000000"/>
              </w:rPr>
              <w:t>/2004</w:t>
            </w:r>
            <w:r>
              <w:rPr>
                <w:color w:val="000000"/>
              </w:rPr>
              <w:t xml:space="preserve">) la data obținerii- legale – a dreptului practică autonomă. </w:t>
            </w:r>
          </w:p>
          <w:p w14:paraId="1BB71919" w14:textId="77777777" w:rsidR="007C3221" w:rsidRDefault="00D848AE">
            <w:pPr>
              <w:pStyle w:val="Normal1"/>
              <w:pBdr>
                <w:top w:val="nil"/>
                <w:left w:val="nil"/>
                <w:bottom w:val="nil"/>
                <w:right w:val="nil"/>
                <w:between w:val="nil"/>
              </w:pBdr>
              <w:spacing w:line="242" w:lineRule="auto"/>
              <w:ind w:left="112" w:right="75"/>
              <w:rPr>
                <w:color w:val="000000"/>
                <w:sz w:val="24"/>
                <w:szCs w:val="24"/>
              </w:rPr>
            </w:pPr>
            <w:r>
              <w:rPr>
                <w:color w:val="000000"/>
                <w:sz w:val="24"/>
                <w:szCs w:val="24"/>
              </w:rPr>
              <w:t>Argumentul 3</w:t>
            </w:r>
          </w:p>
          <w:p w14:paraId="5A4A914C" w14:textId="77777777" w:rsidR="00D848AE" w:rsidRDefault="00D848AE">
            <w:pPr>
              <w:pStyle w:val="Normal1"/>
              <w:pBdr>
                <w:top w:val="nil"/>
                <w:left w:val="nil"/>
                <w:bottom w:val="nil"/>
                <w:right w:val="nil"/>
                <w:between w:val="nil"/>
              </w:pBdr>
              <w:spacing w:line="242" w:lineRule="auto"/>
              <w:ind w:left="112" w:right="75"/>
              <w:rPr>
                <w:color w:val="000000"/>
                <w:sz w:val="24"/>
                <w:szCs w:val="24"/>
              </w:rPr>
            </w:pPr>
            <w:r>
              <w:rPr>
                <w:color w:val="000000"/>
                <w:sz w:val="24"/>
                <w:szCs w:val="24"/>
              </w:rPr>
              <w:t xml:space="preserve">Dacă noua lege pune accentul pe obligativitatea examenului național de competențe pentru trecerea la treapta profesională de specialist, atunci psihologii practicanți autonomi sunt în aceeași situație ca și practicanții </w:t>
            </w:r>
            <w:r w:rsidR="002D4DB7">
              <w:rPr>
                <w:color w:val="000000"/>
                <w:sz w:val="24"/>
                <w:szCs w:val="24"/>
              </w:rPr>
              <w:t xml:space="preserve">deveniți </w:t>
            </w:r>
            <w:r>
              <w:rPr>
                <w:color w:val="000000"/>
                <w:sz w:val="24"/>
                <w:szCs w:val="24"/>
              </w:rPr>
              <w:t>specialiști cf. Legii 213- nici unii dintre ei nu au dat acest examen/ nu se poate face discriminare între unii și ceilalți.</w:t>
            </w:r>
          </w:p>
          <w:p w14:paraId="79B4F9CE" w14:textId="77777777" w:rsidR="00D848AE" w:rsidRDefault="00D848AE">
            <w:pPr>
              <w:pStyle w:val="Normal1"/>
              <w:pBdr>
                <w:top w:val="nil"/>
                <w:left w:val="nil"/>
                <w:bottom w:val="nil"/>
                <w:right w:val="nil"/>
                <w:between w:val="nil"/>
              </w:pBdr>
              <w:spacing w:line="242" w:lineRule="auto"/>
              <w:ind w:left="112" w:right="75"/>
              <w:rPr>
                <w:color w:val="000000"/>
                <w:sz w:val="24"/>
                <w:szCs w:val="24"/>
              </w:rPr>
            </w:pPr>
          </w:p>
          <w:p w14:paraId="2EE054F0" w14:textId="77777777" w:rsidR="00D848AE" w:rsidRDefault="00D848AE">
            <w:pPr>
              <w:pStyle w:val="Normal1"/>
              <w:pBdr>
                <w:top w:val="nil"/>
                <w:left w:val="nil"/>
                <w:bottom w:val="nil"/>
                <w:right w:val="nil"/>
                <w:between w:val="nil"/>
              </w:pBdr>
              <w:spacing w:line="242" w:lineRule="auto"/>
              <w:ind w:left="112" w:right="75"/>
              <w:rPr>
                <w:color w:val="000000"/>
                <w:sz w:val="24"/>
                <w:szCs w:val="24"/>
              </w:rPr>
            </w:pPr>
          </w:p>
          <w:p w14:paraId="6F2753D3" w14:textId="77777777" w:rsidR="00D848AE" w:rsidRDefault="00D848AE">
            <w:pPr>
              <w:pStyle w:val="Normal1"/>
              <w:pBdr>
                <w:top w:val="nil"/>
                <w:left w:val="nil"/>
                <w:bottom w:val="nil"/>
                <w:right w:val="nil"/>
                <w:between w:val="nil"/>
              </w:pBdr>
              <w:spacing w:line="242" w:lineRule="auto"/>
              <w:ind w:left="112" w:right="75"/>
              <w:rPr>
                <w:color w:val="000000"/>
                <w:sz w:val="24"/>
                <w:szCs w:val="24"/>
              </w:rPr>
            </w:pPr>
          </w:p>
          <w:p w14:paraId="52C7C149" w14:textId="77777777" w:rsidR="00D848AE" w:rsidRDefault="00D848AE">
            <w:pPr>
              <w:pStyle w:val="Normal1"/>
              <w:pBdr>
                <w:top w:val="nil"/>
                <w:left w:val="nil"/>
                <w:bottom w:val="nil"/>
                <w:right w:val="nil"/>
                <w:between w:val="nil"/>
              </w:pBdr>
              <w:spacing w:line="242" w:lineRule="auto"/>
              <w:ind w:left="112" w:right="75"/>
              <w:rPr>
                <w:color w:val="000000"/>
                <w:sz w:val="24"/>
                <w:szCs w:val="24"/>
              </w:rPr>
            </w:pPr>
          </w:p>
          <w:p w14:paraId="544EDC45" w14:textId="77777777" w:rsidR="00D848AE" w:rsidRDefault="00D848AE">
            <w:pPr>
              <w:pStyle w:val="Normal1"/>
              <w:pBdr>
                <w:top w:val="nil"/>
                <w:left w:val="nil"/>
                <w:bottom w:val="nil"/>
                <w:right w:val="nil"/>
                <w:between w:val="nil"/>
              </w:pBdr>
              <w:spacing w:line="242" w:lineRule="auto"/>
              <w:ind w:left="112" w:right="75"/>
              <w:rPr>
                <w:color w:val="000000"/>
                <w:sz w:val="24"/>
                <w:szCs w:val="24"/>
              </w:rPr>
            </w:pPr>
          </w:p>
          <w:p w14:paraId="7065193B" w14:textId="77777777" w:rsidR="00D848AE" w:rsidRDefault="00D848AE">
            <w:pPr>
              <w:pStyle w:val="Normal1"/>
              <w:pBdr>
                <w:top w:val="nil"/>
                <w:left w:val="nil"/>
                <w:bottom w:val="nil"/>
                <w:right w:val="nil"/>
                <w:between w:val="nil"/>
              </w:pBdr>
              <w:spacing w:line="242" w:lineRule="auto"/>
              <w:ind w:left="112" w:right="75"/>
              <w:rPr>
                <w:color w:val="000000"/>
                <w:sz w:val="24"/>
                <w:szCs w:val="24"/>
              </w:rPr>
            </w:pPr>
          </w:p>
          <w:p w14:paraId="7185E84A" w14:textId="77777777" w:rsidR="00D848AE" w:rsidRDefault="00D848AE">
            <w:pPr>
              <w:pStyle w:val="Normal1"/>
              <w:pBdr>
                <w:top w:val="nil"/>
                <w:left w:val="nil"/>
                <w:bottom w:val="nil"/>
                <w:right w:val="nil"/>
                <w:between w:val="nil"/>
              </w:pBdr>
              <w:spacing w:line="242" w:lineRule="auto"/>
              <w:ind w:left="112" w:right="75"/>
              <w:rPr>
                <w:color w:val="000000"/>
                <w:sz w:val="24"/>
                <w:szCs w:val="24"/>
              </w:rPr>
            </w:pPr>
          </w:p>
          <w:p w14:paraId="392D4277" w14:textId="77777777" w:rsidR="00D848AE" w:rsidRDefault="00D848AE">
            <w:pPr>
              <w:pStyle w:val="Normal1"/>
              <w:pBdr>
                <w:top w:val="nil"/>
                <w:left w:val="nil"/>
                <w:bottom w:val="nil"/>
                <w:right w:val="nil"/>
                <w:between w:val="nil"/>
              </w:pBdr>
              <w:spacing w:line="242" w:lineRule="auto"/>
              <w:ind w:left="112" w:right="75"/>
              <w:rPr>
                <w:color w:val="000000"/>
                <w:sz w:val="24"/>
                <w:szCs w:val="24"/>
              </w:rPr>
            </w:pPr>
          </w:p>
          <w:p w14:paraId="185B9225" w14:textId="77777777" w:rsidR="00D848AE" w:rsidRDefault="00D848AE">
            <w:pPr>
              <w:pStyle w:val="Normal1"/>
              <w:pBdr>
                <w:top w:val="nil"/>
                <w:left w:val="nil"/>
                <w:bottom w:val="nil"/>
                <w:right w:val="nil"/>
                <w:between w:val="nil"/>
              </w:pBdr>
              <w:spacing w:line="242" w:lineRule="auto"/>
              <w:ind w:left="112" w:right="75"/>
              <w:rPr>
                <w:color w:val="000000"/>
                <w:sz w:val="24"/>
                <w:szCs w:val="24"/>
              </w:rPr>
            </w:pPr>
          </w:p>
          <w:p w14:paraId="0C0250CA" w14:textId="77777777" w:rsidR="00D848AE" w:rsidRDefault="00D848AE">
            <w:pPr>
              <w:pStyle w:val="Normal1"/>
              <w:pBdr>
                <w:top w:val="nil"/>
                <w:left w:val="nil"/>
                <w:bottom w:val="nil"/>
                <w:right w:val="nil"/>
                <w:between w:val="nil"/>
              </w:pBdr>
              <w:spacing w:line="242" w:lineRule="auto"/>
              <w:ind w:left="112" w:right="75"/>
              <w:rPr>
                <w:color w:val="000000"/>
                <w:sz w:val="24"/>
                <w:szCs w:val="24"/>
              </w:rPr>
            </w:pPr>
          </w:p>
        </w:tc>
      </w:tr>
    </w:tbl>
    <w:p w14:paraId="2CABBAE8" w14:textId="77777777" w:rsidR="007C3221" w:rsidRDefault="007C3221">
      <w:pPr>
        <w:pStyle w:val="Normal1"/>
        <w:spacing w:before="2"/>
        <w:jc w:val="both"/>
        <w:rPr>
          <w:b/>
          <w:sz w:val="24"/>
          <w:szCs w:val="24"/>
        </w:rPr>
      </w:pPr>
    </w:p>
    <w:sectPr w:rsidR="007C3221" w:rsidSect="007C3221">
      <w:footerReference w:type="default" r:id="rId7"/>
      <w:pgSz w:w="16840" w:h="11910" w:orient="landscape"/>
      <w:pgMar w:top="1100" w:right="700" w:bottom="620" w:left="1020" w:header="0"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1E962" w14:textId="77777777" w:rsidR="00950AB1" w:rsidRDefault="00950AB1" w:rsidP="007C3221">
      <w:r>
        <w:separator/>
      </w:r>
    </w:p>
  </w:endnote>
  <w:endnote w:type="continuationSeparator" w:id="0">
    <w:p w14:paraId="2B82DF55" w14:textId="77777777" w:rsidR="00950AB1" w:rsidRDefault="00950AB1" w:rsidP="007C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7D04D" w14:textId="77777777" w:rsidR="002A0F93" w:rsidRDefault="00000000">
    <w:pPr>
      <w:pStyle w:val="Normal1"/>
      <w:pBdr>
        <w:top w:val="nil"/>
        <w:left w:val="nil"/>
        <w:bottom w:val="nil"/>
        <w:right w:val="nil"/>
        <w:between w:val="nil"/>
      </w:pBdr>
      <w:spacing w:line="14" w:lineRule="auto"/>
      <w:rPr>
        <w:color w:val="000000"/>
        <w:sz w:val="20"/>
        <w:szCs w:val="20"/>
      </w:rPr>
    </w:pPr>
    <w:r>
      <w:pict w14:anchorId="583581C4">
        <v:shapetype id="_x0000_t202" coordsize="21600,21600" o:spt="202" path="m,l,21600r21600,l21600,xe">
          <v:stroke joinstyle="miter"/>
          <v:path gradientshapeok="t" o:connecttype="rect"/>
        </v:shapetype>
        <v:shape id="_x0000_s3073" type="#_x0000_t202" style="position:absolute;margin-left:361.4pt;margin-top:0;width:18pt;height:15.3pt;z-index:-251658752;mso-position-horizontal-relative:margin" filled="f" stroked="f">
          <v:textbox inset="0,0,0,0">
            <w:txbxContent>
              <w:p w14:paraId="17C01A51" w14:textId="77777777" w:rsidR="002A0F93" w:rsidRDefault="001B0B8B">
                <w:pPr>
                  <w:pStyle w:val="Normal1"/>
                  <w:spacing w:before="10"/>
                  <w:ind w:left="60"/>
                  <w:rPr>
                    <w:sz w:val="24"/>
                  </w:rPr>
                </w:pPr>
                <w:r>
                  <w:fldChar w:fldCharType="begin"/>
                </w:r>
                <w:r w:rsidR="002A0F93">
                  <w:rPr>
                    <w:sz w:val="24"/>
                  </w:rPr>
                  <w:instrText xml:space="preserve"> PAGE </w:instrText>
                </w:r>
                <w:r>
                  <w:fldChar w:fldCharType="separate"/>
                </w:r>
                <w:r w:rsidR="002D4DB7">
                  <w:rPr>
                    <w:noProof/>
                    <w:sz w:val="24"/>
                  </w:rP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A26C7" w14:textId="77777777" w:rsidR="00950AB1" w:rsidRDefault="00950AB1" w:rsidP="007C3221">
      <w:r>
        <w:separator/>
      </w:r>
    </w:p>
  </w:footnote>
  <w:footnote w:type="continuationSeparator" w:id="0">
    <w:p w14:paraId="00A82959" w14:textId="77777777" w:rsidR="00950AB1" w:rsidRDefault="00950AB1" w:rsidP="007C3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865"/>
    <w:multiLevelType w:val="multilevel"/>
    <w:tmpl w:val="90BE4D98"/>
    <w:lvl w:ilvl="0">
      <w:start w:val="1"/>
      <w:numFmt w:val="lowerLetter"/>
      <w:lvlText w:val="%1)"/>
      <w:lvlJc w:val="left"/>
      <w:pPr>
        <w:ind w:left="0" w:firstLine="0"/>
      </w:pPr>
      <w:rPr>
        <w:b w:val="0"/>
        <w:color w:val="00000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3600F60"/>
    <w:multiLevelType w:val="multilevel"/>
    <w:tmpl w:val="EE0827B6"/>
    <w:lvl w:ilvl="0">
      <w:start w:val="1"/>
      <w:numFmt w:val="lowerLetter"/>
      <w:lvlText w:val="%1)"/>
      <w:lvlJc w:val="left"/>
      <w:pPr>
        <w:ind w:left="0" w:firstLine="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C621361"/>
    <w:multiLevelType w:val="multilevel"/>
    <w:tmpl w:val="68CE06A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4C2EE4"/>
    <w:multiLevelType w:val="multilevel"/>
    <w:tmpl w:val="25EEA070"/>
    <w:lvl w:ilvl="0">
      <w:start w:val="1"/>
      <w:numFmt w:val="lowerLetter"/>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4FB6C3C"/>
    <w:multiLevelType w:val="multilevel"/>
    <w:tmpl w:val="0CD492E2"/>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2664C6"/>
    <w:multiLevelType w:val="multilevel"/>
    <w:tmpl w:val="B4C6B2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6DB69B9"/>
    <w:multiLevelType w:val="multilevel"/>
    <w:tmpl w:val="4C72331A"/>
    <w:lvl w:ilvl="0">
      <w:start w:val="1"/>
      <w:numFmt w:val="lowerLetter"/>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29881405"/>
    <w:multiLevelType w:val="multilevel"/>
    <w:tmpl w:val="6C1863EE"/>
    <w:lvl w:ilvl="0">
      <w:start w:val="1"/>
      <w:numFmt w:val="lowerLetter"/>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4124C04"/>
    <w:multiLevelType w:val="multilevel"/>
    <w:tmpl w:val="18363B44"/>
    <w:lvl w:ilvl="0">
      <w:start w:val="1"/>
      <w:numFmt w:val="lowerLetter"/>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3FC532C9"/>
    <w:multiLevelType w:val="multilevel"/>
    <w:tmpl w:val="075EDAD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D676FF"/>
    <w:multiLevelType w:val="multilevel"/>
    <w:tmpl w:val="B4F49E38"/>
    <w:lvl w:ilvl="0">
      <w:start w:val="3"/>
      <w:numFmt w:val="decimal"/>
      <w:lvlText w:val="(%1)"/>
      <w:lvlJc w:val="left"/>
      <w:pPr>
        <w:ind w:left="0" w:firstLine="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8354E5D"/>
    <w:multiLevelType w:val="multilevel"/>
    <w:tmpl w:val="20CA4A28"/>
    <w:lvl w:ilvl="0">
      <w:start w:val="1"/>
      <w:numFmt w:val="lowerLetter"/>
      <w:lvlText w:val="%1)"/>
      <w:lvlJc w:val="left"/>
      <w:pPr>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4564D7"/>
    <w:multiLevelType w:val="multilevel"/>
    <w:tmpl w:val="907ED8A6"/>
    <w:lvl w:ilvl="0">
      <w:start w:val="2"/>
      <w:numFmt w:val="decimal"/>
      <w:lvlText w:val="(%1)"/>
      <w:lvlJc w:val="left"/>
      <w:pPr>
        <w:ind w:left="0" w:firstLine="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CC2DD9"/>
    <w:multiLevelType w:val="multilevel"/>
    <w:tmpl w:val="452AA98C"/>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538C7A71"/>
    <w:multiLevelType w:val="multilevel"/>
    <w:tmpl w:val="0BE0E180"/>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5" w15:restartNumberingAfterBreak="0">
    <w:nsid w:val="53D13370"/>
    <w:multiLevelType w:val="multilevel"/>
    <w:tmpl w:val="2EF4946C"/>
    <w:lvl w:ilvl="0">
      <w:start w:val="1"/>
      <w:numFmt w:val="lowerLetter"/>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60B836CC"/>
    <w:multiLevelType w:val="multilevel"/>
    <w:tmpl w:val="E61C59B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A81142C"/>
    <w:multiLevelType w:val="multilevel"/>
    <w:tmpl w:val="0AE43B5C"/>
    <w:lvl w:ilvl="0">
      <w:start w:val="1"/>
      <w:numFmt w:val="decimal"/>
      <w:lvlText w:val="%1."/>
      <w:lvlJc w:val="left"/>
      <w:pPr>
        <w:ind w:left="425" w:hanging="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CDD24F8"/>
    <w:multiLevelType w:val="multilevel"/>
    <w:tmpl w:val="7852811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4966A7"/>
    <w:multiLevelType w:val="multilevel"/>
    <w:tmpl w:val="AE3E1A94"/>
    <w:lvl w:ilvl="0">
      <w:start w:val="1"/>
      <w:numFmt w:val="lowerLetter"/>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6F456E13"/>
    <w:multiLevelType w:val="multilevel"/>
    <w:tmpl w:val="1604F8E6"/>
    <w:lvl w:ilvl="0">
      <w:start w:val="1"/>
      <w:numFmt w:val="lowerLetter"/>
      <w:lvlText w:val="%1)"/>
      <w:lvlJc w:val="left"/>
      <w:pPr>
        <w:ind w:left="720" w:hanging="360"/>
      </w:pPr>
      <w:rPr>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15C1476"/>
    <w:multiLevelType w:val="multilevel"/>
    <w:tmpl w:val="70DC1E18"/>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814A80"/>
    <w:multiLevelType w:val="multilevel"/>
    <w:tmpl w:val="B492BA8E"/>
    <w:lvl w:ilvl="0">
      <w:start w:val="2"/>
      <w:numFmt w:val="decimal"/>
      <w:lvlText w:val="(%1)"/>
      <w:lvlJc w:val="left"/>
      <w:pPr>
        <w:ind w:left="0" w:firstLine="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A15747"/>
    <w:multiLevelType w:val="multilevel"/>
    <w:tmpl w:val="F968A862"/>
    <w:lvl w:ilvl="0">
      <w:start w:val="1"/>
      <w:numFmt w:val="lowerLetter"/>
      <w:lvlText w:val="%1)"/>
      <w:lvlJc w:val="left"/>
      <w:pPr>
        <w:ind w:left="0" w:firstLine="0"/>
      </w:pPr>
      <w:rPr>
        <w:b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79E10E4A"/>
    <w:multiLevelType w:val="multilevel"/>
    <w:tmpl w:val="DDC6993E"/>
    <w:lvl w:ilvl="0">
      <w:start w:val="2"/>
      <w:numFmt w:val="decimal"/>
      <w:lvlText w:val="(%1)"/>
      <w:lvlJc w:val="left"/>
      <w:pPr>
        <w:ind w:left="0" w:firstLine="0"/>
      </w:pPr>
      <w:rPr>
        <w:b/>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7B13678C"/>
    <w:multiLevelType w:val="multilevel"/>
    <w:tmpl w:val="4754F3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8416812">
    <w:abstractNumId w:val="18"/>
  </w:num>
  <w:num w:numId="2" w16cid:durableId="1604876672">
    <w:abstractNumId w:val="15"/>
  </w:num>
  <w:num w:numId="3" w16cid:durableId="776292737">
    <w:abstractNumId w:val="10"/>
  </w:num>
  <w:num w:numId="4" w16cid:durableId="873348822">
    <w:abstractNumId w:val="5"/>
  </w:num>
  <w:num w:numId="5" w16cid:durableId="620650878">
    <w:abstractNumId w:val="9"/>
  </w:num>
  <w:num w:numId="6" w16cid:durableId="989166079">
    <w:abstractNumId w:val="14"/>
  </w:num>
  <w:num w:numId="7" w16cid:durableId="1139224774">
    <w:abstractNumId w:val="13"/>
  </w:num>
  <w:num w:numId="8" w16cid:durableId="1679963325">
    <w:abstractNumId w:val="23"/>
  </w:num>
  <w:num w:numId="9" w16cid:durableId="1707245372">
    <w:abstractNumId w:val="3"/>
  </w:num>
  <w:num w:numId="10" w16cid:durableId="1232732743">
    <w:abstractNumId w:val="8"/>
  </w:num>
  <w:num w:numId="11" w16cid:durableId="1292788835">
    <w:abstractNumId w:val="25"/>
  </w:num>
  <w:num w:numId="12" w16cid:durableId="1703440820">
    <w:abstractNumId w:val="17"/>
  </w:num>
  <w:num w:numId="13" w16cid:durableId="1577858050">
    <w:abstractNumId w:val="12"/>
  </w:num>
  <w:num w:numId="14" w16cid:durableId="189271449">
    <w:abstractNumId w:val="20"/>
  </w:num>
  <w:num w:numId="15" w16cid:durableId="655915948">
    <w:abstractNumId w:val="1"/>
  </w:num>
  <w:num w:numId="16" w16cid:durableId="1527908613">
    <w:abstractNumId w:val="21"/>
  </w:num>
  <w:num w:numId="17" w16cid:durableId="1527868708">
    <w:abstractNumId w:val="16"/>
  </w:num>
  <w:num w:numId="18" w16cid:durableId="506210491">
    <w:abstractNumId w:val="6"/>
  </w:num>
  <w:num w:numId="19" w16cid:durableId="916788869">
    <w:abstractNumId w:val="19"/>
  </w:num>
  <w:num w:numId="20" w16cid:durableId="128210167">
    <w:abstractNumId w:val="22"/>
  </w:num>
  <w:num w:numId="21" w16cid:durableId="587426850">
    <w:abstractNumId w:val="7"/>
  </w:num>
  <w:num w:numId="22" w16cid:durableId="1703824006">
    <w:abstractNumId w:val="0"/>
  </w:num>
  <w:num w:numId="23" w16cid:durableId="97022783">
    <w:abstractNumId w:val="4"/>
  </w:num>
  <w:num w:numId="24" w16cid:durableId="1069576083">
    <w:abstractNumId w:val="11"/>
  </w:num>
  <w:num w:numId="25" w16cid:durableId="288778655">
    <w:abstractNumId w:val="2"/>
  </w:num>
  <w:num w:numId="26" w16cid:durableId="3836489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C3221"/>
    <w:rsid w:val="001B0B8B"/>
    <w:rsid w:val="002A0F93"/>
    <w:rsid w:val="002D4DB7"/>
    <w:rsid w:val="003720AD"/>
    <w:rsid w:val="0045194B"/>
    <w:rsid w:val="004A48BB"/>
    <w:rsid w:val="00534586"/>
    <w:rsid w:val="0058019A"/>
    <w:rsid w:val="005A48EC"/>
    <w:rsid w:val="005A5A95"/>
    <w:rsid w:val="005A6D3F"/>
    <w:rsid w:val="007214F8"/>
    <w:rsid w:val="007C3221"/>
    <w:rsid w:val="00950AB1"/>
    <w:rsid w:val="00CE212E"/>
    <w:rsid w:val="00CF53C4"/>
    <w:rsid w:val="00D848AE"/>
    <w:rsid w:val="00E6174E"/>
    <w:rsid w:val="00EB4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5B4AEB7"/>
  <w15:docId w15:val="{5B01910E-29A9-4A90-8342-30ED7F2CC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B8B"/>
  </w:style>
  <w:style w:type="paragraph" w:styleId="Heading1">
    <w:name w:val="heading 1"/>
    <w:basedOn w:val="Normal1"/>
    <w:next w:val="Normal1"/>
    <w:rsid w:val="007C3221"/>
    <w:pPr>
      <w:keepNext/>
      <w:keepLines/>
      <w:spacing w:before="480" w:after="120"/>
      <w:outlineLvl w:val="0"/>
    </w:pPr>
    <w:rPr>
      <w:b/>
      <w:sz w:val="48"/>
      <w:szCs w:val="48"/>
    </w:rPr>
  </w:style>
  <w:style w:type="paragraph" w:styleId="Heading2">
    <w:name w:val="heading 2"/>
    <w:basedOn w:val="Normal1"/>
    <w:next w:val="Normal1"/>
    <w:rsid w:val="007C3221"/>
    <w:pPr>
      <w:keepNext/>
      <w:jc w:val="center"/>
      <w:outlineLvl w:val="1"/>
    </w:pPr>
    <w:rPr>
      <w:sz w:val="28"/>
      <w:szCs w:val="28"/>
    </w:rPr>
  </w:style>
  <w:style w:type="paragraph" w:styleId="Heading3">
    <w:name w:val="heading 3"/>
    <w:basedOn w:val="Normal1"/>
    <w:next w:val="Normal1"/>
    <w:rsid w:val="007C3221"/>
    <w:pPr>
      <w:keepNext/>
      <w:keepLines/>
      <w:spacing w:before="280" w:after="80"/>
      <w:outlineLvl w:val="2"/>
    </w:pPr>
    <w:rPr>
      <w:b/>
      <w:sz w:val="28"/>
      <w:szCs w:val="28"/>
    </w:rPr>
  </w:style>
  <w:style w:type="paragraph" w:styleId="Heading4">
    <w:name w:val="heading 4"/>
    <w:basedOn w:val="Normal1"/>
    <w:next w:val="Normal1"/>
    <w:rsid w:val="007C3221"/>
    <w:pPr>
      <w:keepNext/>
      <w:keepLines/>
      <w:spacing w:before="240" w:after="40"/>
      <w:outlineLvl w:val="3"/>
    </w:pPr>
    <w:rPr>
      <w:b/>
      <w:sz w:val="24"/>
      <w:szCs w:val="24"/>
    </w:rPr>
  </w:style>
  <w:style w:type="paragraph" w:styleId="Heading5">
    <w:name w:val="heading 5"/>
    <w:basedOn w:val="Normal1"/>
    <w:next w:val="Normal1"/>
    <w:rsid w:val="007C3221"/>
    <w:pPr>
      <w:keepNext/>
      <w:keepLines/>
      <w:spacing w:before="220" w:after="40"/>
      <w:outlineLvl w:val="4"/>
    </w:pPr>
    <w:rPr>
      <w:b/>
    </w:rPr>
  </w:style>
  <w:style w:type="paragraph" w:styleId="Heading6">
    <w:name w:val="heading 6"/>
    <w:basedOn w:val="Normal1"/>
    <w:next w:val="Normal1"/>
    <w:rsid w:val="007C322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C3221"/>
  </w:style>
  <w:style w:type="paragraph" w:styleId="Title">
    <w:name w:val="Title"/>
    <w:basedOn w:val="Normal1"/>
    <w:next w:val="Normal1"/>
    <w:rsid w:val="007C3221"/>
    <w:pPr>
      <w:keepNext/>
      <w:keepLines/>
      <w:spacing w:before="480" w:after="120"/>
    </w:pPr>
    <w:rPr>
      <w:b/>
      <w:sz w:val="72"/>
      <w:szCs w:val="72"/>
    </w:rPr>
  </w:style>
  <w:style w:type="paragraph" w:styleId="Subtitle">
    <w:name w:val="Subtitle"/>
    <w:basedOn w:val="Normal1"/>
    <w:next w:val="Normal1"/>
    <w:rsid w:val="007C3221"/>
    <w:pPr>
      <w:keepNext/>
      <w:keepLines/>
      <w:spacing w:before="360" w:after="80"/>
    </w:pPr>
    <w:rPr>
      <w:rFonts w:ascii="Georgia" w:eastAsia="Georgia" w:hAnsi="Georgia" w:cs="Georgia"/>
      <w:i/>
      <w:color w:val="666666"/>
      <w:sz w:val="48"/>
      <w:szCs w:val="48"/>
    </w:rPr>
  </w:style>
  <w:style w:type="table" w:customStyle="1" w:styleId="a">
    <w:basedOn w:val="TableNormal"/>
    <w:rsid w:val="007C3221"/>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dragos blod</cp:lastModifiedBy>
  <cp:revision>6</cp:revision>
  <dcterms:created xsi:type="dcterms:W3CDTF">2024-07-11T09:27:00Z</dcterms:created>
  <dcterms:modified xsi:type="dcterms:W3CDTF">2025-12-17T16:09:00Z</dcterms:modified>
</cp:coreProperties>
</file>